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FFA" w:rsidRPr="005C7A53" w:rsidRDefault="00390F0F" w:rsidP="005C7A53">
      <w:pPr>
        <w:jc w:val="center"/>
        <w:rPr>
          <w:b/>
        </w:rPr>
      </w:pPr>
      <w:bookmarkStart w:id="0" w:name="_GoBack"/>
      <w:bookmarkEnd w:id="0"/>
      <w:r w:rsidRPr="005C7A53">
        <w:rPr>
          <w:b/>
        </w:rPr>
        <w:t>Engineering Design Process Rubric</w:t>
      </w:r>
    </w:p>
    <w:p w:rsidR="00390F0F" w:rsidRDefault="00390F0F"/>
    <w:p w:rsidR="00390F0F" w:rsidRDefault="00390F0F">
      <w:pPr>
        <w:rPr>
          <w:rFonts w:cs="Arial"/>
          <w:color w:val="1A1A1A"/>
        </w:rPr>
      </w:pPr>
      <w:r>
        <w:t>Definition of EDP: T</w:t>
      </w:r>
      <w:r w:rsidRPr="00390F0F">
        <w:rPr>
          <w:rFonts w:cs="Arial"/>
          <w:color w:val="1A1A1A"/>
        </w:rPr>
        <w:t xml:space="preserve">he </w:t>
      </w:r>
      <w:r w:rsidRPr="00390F0F">
        <w:rPr>
          <w:rFonts w:cs="Arial"/>
          <w:b/>
          <w:bCs/>
          <w:color w:val="1A1A1A"/>
        </w:rPr>
        <w:t>engineering design</w:t>
      </w:r>
      <w:r w:rsidRPr="00390F0F">
        <w:rPr>
          <w:rFonts w:cs="Arial"/>
          <w:color w:val="1A1A1A"/>
        </w:rPr>
        <w:t xml:space="preserve"> process is the formulation of a plan to help an engineer build a product with a specified performance goal. This process involves a number of steps, and parts of the process may need to be repeated many times before production of a final product can begin.</w:t>
      </w:r>
    </w:p>
    <w:p w:rsidR="00390F0F" w:rsidRDefault="00390F0F">
      <w:pPr>
        <w:rPr>
          <w:rFonts w:cs="Arial"/>
          <w:color w:val="1A1A1A"/>
        </w:rPr>
      </w:pPr>
    </w:p>
    <w:p w:rsidR="00FF4771" w:rsidRDefault="00FF4771" w:rsidP="00FF4771">
      <w:pPr>
        <w:rPr>
          <w:rFonts w:cs="Arial"/>
          <w:color w:val="1A1A1A"/>
        </w:rPr>
      </w:pPr>
      <w:r>
        <w:rPr>
          <w:rFonts w:cs="Arial"/>
          <w:color w:val="1A1A1A"/>
        </w:rPr>
        <w:t>Important elements of EDP:</w:t>
      </w:r>
    </w:p>
    <w:p w:rsidR="003561C2" w:rsidRDefault="003561C2" w:rsidP="003561C2">
      <w:pPr>
        <w:pStyle w:val="ListParagraph"/>
        <w:numPr>
          <w:ilvl w:val="0"/>
          <w:numId w:val="8"/>
        </w:numPr>
        <w:rPr>
          <w:rFonts w:cs="Arial"/>
          <w:color w:val="1A1A1A"/>
        </w:rPr>
      </w:pPr>
      <w:r>
        <w:rPr>
          <w:rFonts w:cs="Arial"/>
          <w:color w:val="1A1A1A"/>
        </w:rPr>
        <w:t xml:space="preserve">Correct terms are used </w:t>
      </w:r>
    </w:p>
    <w:p w:rsidR="003561C2" w:rsidRDefault="003561C2" w:rsidP="003561C2">
      <w:pPr>
        <w:pStyle w:val="ListParagraph"/>
        <w:numPr>
          <w:ilvl w:val="0"/>
          <w:numId w:val="8"/>
        </w:numPr>
        <w:rPr>
          <w:rFonts w:cs="Arial"/>
          <w:color w:val="1A1A1A"/>
        </w:rPr>
      </w:pPr>
      <w:r>
        <w:rPr>
          <w:rFonts w:cs="Arial"/>
          <w:color w:val="1A1A1A"/>
        </w:rPr>
        <w:t>Terms are connected to each other</w:t>
      </w:r>
    </w:p>
    <w:p w:rsidR="003561C2" w:rsidRDefault="003561C2" w:rsidP="003561C2">
      <w:pPr>
        <w:pStyle w:val="ListParagraph"/>
        <w:numPr>
          <w:ilvl w:val="0"/>
          <w:numId w:val="8"/>
        </w:numPr>
        <w:rPr>
          <w:rFonts w:cs="Arial"/>
          <w:color w:val="1A1A1A"/>
        </w:rPr>
      </w:pPr>
      <w:r>
        <w:rPr>
          <w:rFonts w:cs="Arial"/>
          <w:color w:val="1A1A1A"/>
        </w:rPr>
        <w:t>Terms are connected to each other in the correct order</w:t>
      </w:r>
    </w:p>
    <w:p w:rsidR="003561C2" w:rsidRDefault="003561C2" w:rsidP="003561C2">
      <w:pPr>
        <w:pStyle w:val="ListParagraph"/>
        <w:numPr>
          <w:ilvl w:val="0"/>
          <w:numId w:val="8"/>
        </w:numPr>
        <w:rPr>
          <w:rFonts w:cs="Arial"/>
          <w:color w:val="1A1A1A"/>
        </w:rPr>
      </w:pPr>
      <w:r w:rsidRPr="00FF4771">
        <w:rPr>
          <w:rFonts w:cs="Arial"/>
          <w:color w:val="1A1A1A"/>
        </w:rPr>
        <w:t>Cyclical Representation of EDP</w:t>
      </w:r>
    </w:p>
    <w:p w:rsidR="009E2C98" w:rsidRDefault="009E2C98">
      <w:pPr>
        <w:rPr>
          <w:rFonts w:cs="Arial"/>
          <w:color w:val="1A1A1A"/>
        </w:rPr>
      </w:pPr>
    </w:p>
    <w:p w:rsidR="00390F0F" w:rsidRDefault="00390F0F">
      <w:pPr>
        <w:rPr>
          <w:rFonts w:cs="Arial"/>
          <w:color w:val="1A1A1A"/>
        </w:rPr>
      </w:pPr>
      <w:r>
        <w:rPr>
          <w:rFonts w:cs="Arial"/>
          <w:color w:val="1A1A1A"/>
        </w:rPr>
        <w:t xml:space="preserve">The CEEMS project uses this graphical representation to explain EDP. </w:t>
      </w:r>
    </w:p>
    <w:p w:rsidR="00106E54" w:rsidRDefault="00106E54">
      <w:pPr>
        <w:rPr>
          <w:rFonts w:cs="Arial"/>
          <w:color w:val="1A1A1A"/>
        </w:rPr>
      </w:pPr>
    </w:p>
    <w:p w:rsidR="009E2C98" w:rsidRPr="009268EA" w:rsidRDefault="009E2C98" w:rsidP="009E2C98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9268EA">
        <w:rPr>
          <w:rFonts w:ascii="Arial" w:hAnsi="Arial" w:cs="Arial"/>
          <w:b/>
          <w:bCs/>
          <w:sz w:val="20"/>
          <w:szCs w:val="20"/>
          <w:u w:val="single"/>
        </w:rPr>
        <w:t>Engineering Design Process (EDP)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9E2C98" w:rsidRDefault="009E2C98" w:rsidP="009E2C98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9E2C98" w:rsidRDefault="009E2C98" w:rsidP="009E2C98">
      <w:pPr>
        <w:pStyle w:val="ListParagraph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9268EA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54E595F3" wp14:editId="06B67F92">
            <wp:extent cx="3396342" cy="2560320"/>
            <wp:effectExtent l="0" t="0" r="0" b="0"/>
            <wp:docPr id="276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0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342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474" w:rsidRDefault="00523474" w:rsidP="009E2C98">
      <w:pPr>
        <w:pStyle w:val="ListParagraph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523474" w:rsidRPr="00523474" w:rsidRDefault="00523474" w:rsidP="00523474">
      <w:pPr>
        <w:rPr>
          <w:rFonts w:ascii="Arial" w:hAnsi="Arial" w:cs="Arial"/>
          <w:b/>
          <w:bCs/>
          <w:sz w:val="20"/>
          <w:szCs w:val="20"/>
        </w:rPr>
      </w:pPr>
    </w:p>
    <w:p w:rsidR="009E2C98" w:rsidRPr="00F948A6" w:rsidRDefault="009E2C98" w:rsidP="009E2C98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F948A6">
        <w:rPr>
          <w:rFonts w:ascii="Arial" w:hAnsi="Arial" w:cs="Arial"/>
          <w:b/>
          <w:bCs/>
          <w:sz w:val="20"/>
          <w:szCs w:val="20"/>
          <w:u w:val="single"/>
        </w:rPr>
        <w:t>EDP Activity</w:t>
      </w:r>
      <w:r w:rsidRPr="00F948A6">
        <w:rPr>
          <w:rFonts w:ascii="Arial" w:hAnsi="Arial" w:cs="Arial"/>
          <w:b/>
          <w:bCs/>
          <w:sz w:val="20"/>
          <w:szCs w:val="20"/>
        </w:rPr>
        <w:t>:</w:t>
      </w:r>
      <w:r w:rsidRPr="00F948A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The Unit must include a culminating activity which models the complete EDP cycle and preferably include at least one refine cycle.</w:t>
      </w:r>
    </w:p>
    <w:p w:rsidR="00390F0F" w:rsidRDefault="00390F0F">
      <w:pPr>
        <w:rPr>
          <w:rFonts w:cs="Arial"/>
          <w:color w:val="1A1A1A"/>
        </w:rPr>
      </w:pPr>
    </w:p>
    <w:p w:rsidR="005C402D" w:rsidRDefault="005C402D">
      <w:r>
        <w:br w:type="page"/>
      </w:r>
    </w:p>
    <w:p w:rsidR="00106E54" w:rsidRDefault="00106E54">
      <w:r>
        <w:lastRenderedPageBreak/>
        <w:t>Directions given to the students as part of the CEEMS Student Feedback Survey:</w:t>
      </w:r>
    </w:p>
    <w:p w:rsidR="00106E54" w:rsidRPr="00614A83" w:rsidRDefault="00106E54" w:rsidP="00FF4771">
      <w:pPr>
        <w:pStyle w:val="CommentText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a drawing or diagram, a</w:t>
      </w:r>
      <w:r w:rsidRPr="00614A83">
        <w:rPr>
          <w:rFonts w:ascii="Times New Roman" w:hAnsi="Times New Roman" w:cs="Times New Roman"/>
          <w:b/>
          <w:sz w:val="24"/>
          <w:szCs w:val="24"/>
        </w:rPr>
        <w:t>rrange the following words in the order of the steps you just used in the engineering design process activity and connect each with an arrow, with the arrow-head pointing to the activity that will come next. You can use any of these words more than once, if needed.</w:t>
      </w:r>
    </w:p>
    <w:tbl>
      <w:tblPr>
        <w:tblStyle w:val="TableGrid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3240"/>
        <w:gridCol w:w="2790"/>
      </w:tblGrid>
      <w:tr w:rsidR="00106E54" w:rsidTr="00EE00C4">
        <w:trPr>
          <w:trHeight w:val="413"/>
        </w:trPr>
        <w:tc>
          <w:tcPr>
            <w:tcW w:w="3078" w:type="dxa"/>
            <w:vAlign w:val="center"/>
          </w:tcPr>
          <w:p w:rsidR="00106E54" w:rsidRPr="007C7344" w:rsidRDefault="00106E54" w:rsidP="00106E54">
            <w:pPr>
              <w:pStyle w:val="ListParagraph"/>
              <w:numPr>
                <w:ilvl w:val="0"/>
                <w:numId w:val="2"/>
              </w:numPr>
              <w:ind w:left="288" w:hanging="288"/>
              <w:rPr>
                <w:rFonts w:ascii="Times New Roman" w:hAnsi="Times New Roman" w:cs="Times New Roman"/>
                <w:color w:val="000000" w:themeColor="text1"/>
              </w:rPr>
            </w:pPr>
            <w:r w:rsidRPr="007C7344">
              <w:rPr>
                <w:rFonts w:ascii="Times New Roman" w:hAnsi="Times New Roman" w:cs="Times New Roman"/>
                <w:color w:val="000000" w:themeColor="text1"/>
              </w:rPr>
              <w:t>Identify and Define</w:t>
            </w:r>
          </w:p>
        </w:tc>
        <w:tc>
          <w:tcPr>
            <w:tcW w:w="3240" w:type="dxa"/>
            <w:vAlign w:val="center"/>
          </w:tcPr>
          <w:p w:rsidR="00106E54" w:rsidRPr="007C7344" w:rsidRDefault="00106E54" w:rsidP="00106E54">
            <w:pPr>
              <w:pStyle w:val="ListParagraph"/>
              <w:numPr>
                <w:ilvl w:val="0"/>
                <w:numId w:val="2"/>
              </w:numPr>
              <w:ind w:left="288" w:hanging="288"/>
              <w:rPr>
                <w:rFonts w:ascii="Times New Roman" w:hAnsi="Times New Roman" w:cs="Times New Roman"/>
                <w:color w:val="000000" w:themeColor="text1"/>
              </w:rPr>
            </w:pPr>
            <w:r w:rsidRPr="007C7344">
              <w:rPr>
                <w:rFonts w:ascii="Times New Roman" w:hAnsi="Times New Roman" w:cs="Times New Roman"/>
                <w:color w:val="000000" w:themeColor="text1"/>
              </w:rPr>
              <w:t>Evaluate or Test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Solution(s)</w:t>
            </w:r>
          </w:p>
        </w:tc>
        <w:tc>
          <w:tcPr>
            <w:tcW w:w="2790" w:type="dxa"/>
            <w:vAlign w:val="center"/>
          </w:tcPr>
          <w:p w:rsidR="00106E54" w:rsidRPr="007C7344" w:rsidRDefault="00106E54" w:rsidP="00106E54">
            <w:pPr>
              <w:pStyle w:val="ListParagraph"/>
              <w:numPr>
                <w:ilvl w:val="0"/>
                <w:numId w:val="2"/>
              </w:numPr>
              <w:ind w:left="288" w:hanging="288"/>
              <w:rPr>
                <w:rFonts w:ascii="Times New Roman" w:hAnsi="Times New Roman" w:cs="Times New Roman"/>
                <w:color w:val="000000" w:themeColor="text1"/>
              </w:rPr>
            </w:pPr>
            <w:r w:rsidRPr="007C7344">
              <w:rPr>
                <w:rFonts w:ascii="Times New Roman" w:hAnsi="Times New Roman" w:cs="Times New Roman"/>
                <w:color w:val="000000" w:themeColor="text1"/>
              </w:rPr>
              <w:t>Refine</w:t>
            </w:r>
          </w:p>
        </w:tc>
      </w:tr>
      <w:tr w:rsidR="00106E54" w:rsidTr="00EE00C4">
        <w:trPr>
          <w:trHeight w:val="413"/>
        </w:trPr>
        <w:tc>
          <w:tcPr>
            <w:tcW w:w="3078" w:type="dxa"/>
            <w:vAlign w:val="center"/>
          </w:tcPr>
          <w:p w:rsidR="00106E54" w:rsidRPr="007C7344" w:rsidRDefault="00106E54" w:rsidP="00106E54">
            <w:pPr>
              <w:pStyle w:val="ListParagraph"/>
              <w:numPr>
                <w:ilvl w:val="0"/>
                <w:numId w:val="2"/>
              </w:numPr>
              <w:ind w:left="288" w:hanging="288"/>
              <w:rPr>
                <w:rFonts w:ascii="Times New Roman" w:hAnsi="Times New Roman" w:cs="Times New Roman"/>
                <w:color w:val="000000" w:themeColor="text1"/>
              </w:rPr>
            </w:pPr>
            <w:r w:rsidRPr="007C7344">
              <w:rPr>
                <w:rFonts w:ascii="Times New Roman" w:hAnsi="Times New Roman" w:cs="Times New Roman"/>
                <w:color w:val="000000" w:themeColor="text1"/>
              </w:rPr>
              <w:t>Do Again</w:t>
            </w:r>
          </w:p>
        </w:tc>
        <w:tc>
          <w:tcPr>
            <w:tcW w:w="3240" w:type="dxa"/>
            <w:vAlign w:val="center"/>
          </w:tcPr>
          <w:p w:rsidR="00106E54" w:rsidRPr="007C7344" w:rsidRDefault="00106E54" w:rsidP="00106E54">
            <w:pPr>
              <w:pStyle w:val="ListParagraph"/>
              <w:numPr>
                <w:ilvl w:val="0"/>
                <w:numId w:val="2"/>
              </w:numPr>
              <w:ind w:left="288" w:hanging="288"/>
              <w:rPr>
                <w:rFonts w:ascii="Times New Roman" w:hAnsi="Times New Roman" w:cs="Times New Roman"/>
                <w:color w:val="000000" w:themeColor="text1"/>
              </w:rPr>
            </w:pPr>
            <w:r w:rsidRPr="007C7344">
              <w:rPr>
                <w:rFonts w:ascii="Times New Roman" w:hAnsi="Times New Roman" w:cs="Times New Roman"/>
                <w:color w:val="000000" w:themeColor="text1"/>
              </w:rPr>
              <w:t>Select Best Solution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to Try</w:t>
            </w:r>
          </w:p>
        </w:tc>
        <w:tc>
          <w:tcPr>
            <w:tcW w:w="2790" w:type="dxa"/>
            <w:vAlign w:val="center"/>
          </w:tcPr>
          <w:p w:rsidR="00106E54" w:rsidRPr="007C7344" w:rsidRDefault="00106E54" w:rsidP="00106E54">
            <w:pPr>
              <w:pStyle w:val="ListParagraph"/>
              <w:numPr>
                <w:ilvl w:val="0"/>
                <w:numId w:val="2"/>
              </w:numPr>
              <w:ind w:left="288" w:hanging="288"/>
              <w:rPr>
                <w:rFonts w:ascii="Times New Roman" w:hAnsi="Times New Roman" w:cs="Times New Roman"/>
                <w:color w:val="000000" w:themeColor="text1"/>
              </w:rPr>
            </w:pPr>
            <w:r w:rsidRPr="007C7344">
              <w:rPr>
                <w:rFonts w:ascii="Times New Roman" w:hAnsi="Times New Roman" w:cs="Times New Roman"/>
                <w:color w:val="000000" w:themeColor="text1"/>
              </w:rPr>
              <w:t>Gather Information</w:t>
            </w:r>
          </w:p>
        </w:tc>
      </w:tr>
      <w:tr w:rsidR="00106E54" w:rsidTr="00EE00C4">
        <w:trPr>
          <w:trHeight w:val="414"/>
        </w:trPr>
        <w:tc>
          <w:tcPr>
            <w:tcW w:w="3078" w:type="dxa"/>
            <w:vAlign w:val="center"/>
          </w:tcPr>
          <w:p w:rsidR="00106E54" w:rsidRPr="007C7344" w:rsidRDefault="00106E54" w:rsidP="00106E54">
            <w:pPr>
              <w:pStyle w:val="ListParagraph"/>
              <w:numPr>
                <w:ilvl w:val="0"/>
                <w:numId w:val="2"/>
              </w:numPr>
              <w:ind w:left="288" w:hanging="288"/>
              <w:rPr>
                <w:rFonts w:ascii="Times New Roman" w:hAnsi="Times New Roman" w:cs="Times New Roman"/>
                <w:color w:val="000000" w:themeColor="text1"/>
              </w:rPr>
            </w:pPr>
            <w:r w:rsidRPr="007C7344">
              <w:rPr>
                <w:rFonts w:ascii="Times New Roman" w:hAnsi="Times New Roman" w:cs="Times New Roman"/>
                <w:color w:val="000000" w:themeColor="text1"/>
              </w:rPr>
              <w:t>Communicate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Solution(s)</w:t>
            </w:r>
          </w:p>
        </w:tc>
        <w:tc>
          <w:tcPr>
            <w:tcW w:w="3240" w:type="dxa"/>
            <w:vAlign w:val="center"/>
          </w:tcPr>
          <w:p w:rsidR="00106E54" w:rsidRPr="007C7344" w:rsidRDefault="00106E54" w:rsidP="00106E54">
            <w:pPr>
              <w:pStyle w:val="ListParagraph"/>
              <w:numPr>
                <w:ilvl w:val="0"/>
                <w:numId w:val="2"/>
              </w:numPr>
              <w:ind w:left="288" w:hanging="288"/>
              <w:rPr>
                <w:rFonts w:ascii="Times New Roman" w:hAnsi="Times New Roman" w:cs="Times New Roman"/>
                <w:color w:val="000000" w:themeColor="text1"/>
              </w:rPr>
            </w:pPr>
            <w:r w:rsidRPr="007C7344">
              <w:rPr>
                <w:rFonts w:ascii="Times New Roman" w:hAnsi="Times New Roman" w:cs="Times New Roman"/>
                <w:color w:val="000000" w:themeColor="text1"/>
              </w:rPr>
              <w:t>Identify Alternative</w:t>
            </w: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7C7344">
              <w:rPr>
                <w:rFonts w:ascii="Times New Roman" w:hAnsi="Times New Roman" w:cs="Times New Roman"/>
                <w:color w:val="000000" w:themeColor="text1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790" w:type="dxa"/>
            <w:vAlign w:val="center"/>
          </w:tcPr>
          <w:p w:rsidR="00106E54" w:rsidRPr="007C7344" w:rsidRDefault="00106E54" w:rsidP="00106E54">
            <w:pPr>
              <w:pStyle w:val="ListParagraph"/>
              <w:numPr>
                <w:ilvl w:val="0"/>
                <w:numId w:val="2"/>
              </w:numPr>
              <w:ind w:left="288" w:hanging="288"/>
              <w:rPr>
                <w:rFonts w:ascii="Times New Roman" w:hAnsi="Times New Roman" w:cs="Times New Roman"/>
                <w:color w:val="000000" w:themeColor="text1"/>
              </w:rPr>
            </w:pPr>
            <w:r w:rsidRPr="007C7344">
              <w:rPr>
                <w:rFonts w:ascii="Times New Roman" w:hAnsi="Times New Roman" w:cs="Times New Roman"/>
                <w:color w:val="000000" w:themeColor="text1"/>
              </w:rPr>
              <w:t>Implement Solution</w:t>
            </w:r>
            <w:r>
              <w:rPr>
                <w:rFonts w:ascii="Times New Roman" w:hAnsi="Times New Roman" w:cs="Times New Roman"/>
                <w:color w:val="000000" w:themeColor="text1"/>
              </w:rPr>
              <w:t>(s)</w:t>
            </w:r>
          </w:p>
        </w:tc>
      </w:tr>
    </w:tbl>
    <w:p w:rsidR="00B74CD5" w:rsidRDefault="00B74CD5"/>
    <w:p w:rsidR="005C7A53" w:rsidRDefault="001E5A3C">
      <w:r>
        <w:t>A sample of student drawings was</w:t>
      </w:r>
      <w:r w:rsidR="00EE00C4">
        <w:t xml:space="preserve"> evaluated using a rubric </w:t>
      </w:r>
      <w:r w:rsidR="00FF4771">
        <w:t>that included key</w:t>
      </w:r>
      <w:r w:rsidR="00EE00C4">
        <w:t xml:space="preserve"> </w:t>
      </w:r>
      <w:r w:rsidR="00390F0F">
        <w:t>elements of EDP (see table below).</w:t>
      </w:r>
      <w:r w:rsidR="005C7A53" w:rsidRPr="005C7A53">
        <w:t xml:space="preserve"> </w:t>
      </w:r>
    </w:p>
    <w:p w:rsidR="005C7A53" w:rsidRDefault="005C7A53"/>
    <w:p w:rsidR="00106E54" w:rsidRDefault="00106E54" w:rsidP="00106E54">
      <w:pPr>
        <w:rPr>
          <w:rFonts w:cs="Arial"/>
          <w:color w:val="1A1A1A"/>
        </w:rPr>
      </w:pPr>
      <w:r>
        <w:rPr>
          <w:rFonts w:cs="Arial"/>
          <w:color w:val="1A1A1A"/>
        </w:rPr>
        <w:t>Important elements of EDP:</w:t>
      </w:r>
    </w:p>
    <w:p w:rsidR="00106E54" w:rsidRDefault="00FF4771" w:rsidP="003561C2">
      <w:pPr>
        <w:pStyle w:val="ListParagraph"/>
        <w:numPr>
          <w:ilvl w:val="0"/>
          <w:numId w:val="9"/>
        </w:numPr>
        <w:rPr>
          <w:rFonts w:cs="Arial"/>
          <w:color w:val="1A1A1A"/>
        </w:rPr>
      </w:pPr>
      <w:r>
        <w:rPr>
          <w:rFonts w:cs="Arial"/>
          <w:color w:val="1A1A1A"/>
        </w:rPr>
        <w:t xml:space="preserve">Correct terms are used </w:t>
      </w:r>
    </w:p>
    <w:p w:rsidR="00FF4771" w:rsidRDefault="00FF4771" w:rsidP="003561C2">
      <w:pPr>
        <w:pStyle w:val="ListParagraph"/>
        <w:numPr>
          <w:ilvl w:val="0"/>
          <w:numId w:val="9"/>
        </w:numPr>
        <w:rPr>
          <w:rFonts w:cs="Arial"/>
          <w:color w:val="1A1A1A"/>
        </w:rPr>
      </w:pPr>
      <w:r>
        <w:rPr>
          <w:rFonts w:cs="Arial"/>
          <w:color w:val="1A1A1A"/>
        </w:rPr>
        <w:t xml:space="preserve">Terms are connected to each </w:t>
      </w:r>
      <w:r w:rsidR="003561C2">
        <w:rPr>
          <w:rFonts w:cs="Arial"/>
          <w:color w:val="1A1A1A"/>
        </w:rPr>
        <w:t>other</w:t>
      </w:r>
    </w:p>
    <w:p w:rsidR="00737A8B" w:rsidRDefault="00737A8B" w:rsidP="00737A8B">
      <w:pPr>
        <w:pStyle w:val="ListParagraph"/>
        <w:numPr>
          <w:ilvl w:val="0"/>
          <w:numId w:val="9"/>
        </w:numPr>
        <w:rPr>
          <w:rFonts w:cs="Arial"/>
          <w:color w:val="1A1A1A"/>
        </w:rPr>
      </w:pPr>
      <w:r w:rsidRPr="00FF4771">
        <w:rPr>
          <w:rFonts w:cs="Arial"/>
          <w:color w:val="1A1A1A"/>
        </w:rPr>
        <w:t>Cyclical Representation of EDP</w:t>
      </w:r>
    </w:p>
    <w:p w:rsidR="003561C2" w:rsidRDefault="003561C2" w:rsidP="003561C2">
      <w:pPr>
        <w:pStyle w:val="ListParagraph"/>
        <w:numPr>
          <w:ilvl w:val="0"/>
          <w:numId w:val="9"/>
        </w:numPr>
        <w:rPr>
          <w:rFonts w:cs="Arial"/>
          <w:color w:val="1A1A1A"/>
        </w:rPr>
      </w:pPr>
      <w:r>
        <w:rPr>
          <w:rFonts w:cs="Arial"/>
          <w:color w:val="1A1A1A"/>
        </w:rPr>
        <w:t>Terms are connected to each other in the correct order</w:t>
      </w:r>
    </w:p>
    <w:p w:rsidR="00106E54" w:rsidRDefault="00106E54" w:rsidP="005C7A53">
      <w:pPr>
        <w:jc w:val="center"/>
      </w:pPr>
    </w:p>
    <w:p w:rsidR="00106E54" w:rsidRDefault="005C7A53" w:rsidP="00EE00C4">
      <w:r>
        <w:t xml:space="preserve">Table </w:t>
      </w:r>
      <w:fldSimple w:instr=" SEQ Table \* ARABIC ">
        <w:r w:rsidR="00233EA6">
          <w:rPr>
            <w:noProof/>
          </w:rPr>
          <w:t>1</w:t>
        </w:r>
      </w:fldSimple>
      <w:r>
        <w:t>: Scoring Guidelines for Student EDP drawings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3"/>
        <w:gridCol w:w="1678"/>
        <w:gridCol w:w="1840"/>
        <w:gridCol w:w="1922"/>
        <w:gridCol w:w="2297"/>
      </w:tblGrid>
      <w:tr w:rsidR="00FF4771" w:rsidTr="00233EA6">
        <w:tc>
          <w:tcPr>
            <w:tcW w:w="1638" w:type="dxa"/>
            <w:shd w:val="clear" w:color="auto" w:fill="B8CCE4" w:themeFill="accent1" w:themeFillTint="66"/>
          </w:tcPr>
          <w:p w:rsidR="00FF4771" w:rsidRPr="009E2C98" w:rsidRDefault="00FF4771" w:rsidP="00106E54">
            <w:pPr>
              <w:jc w:val="center"/>
              <w:rPr>
                <w:b/>
              </w:rPr>
            </w:pPr>
            <w:r w:rsidRPr="009E2C98">
              <w:rPr>
                <w:b/>
              </w:rPr>
              <w:t>0</w:t>
            </w:r>
          </w:p>
        </w:tc>
        <w:tc>
          <w:tcPr>
            <w:tcW w:w="1710" w:type="dxa"/>
            <w:shd w:val="clear" w:color="auto" w:fill="B8CCE4" w:themeFill="accent1" w:themeFillTint="66"/>
          </w:tcPr>
          <w:p w:rsidR="00FF4771" w:rsidRPr="009E2C98" w:rsidRDefault="00FF4771" w:rsidP="00106E54">
            <w:pPr>
              <w:jc w:val="center"/>
              <w:rPr>
                <w:b/>
              </w:rPr>
            </w:pPr>
            <w:r w:rsidRPr="009E2C98">
              <w:rPr>
                <w:b/>
              </w:rPr>
              <w:t>1</w:t>
            </w:r>
          </w:p>
        </w:tc>
        <w:tc>
          <w:tcPr>
            <w:tcW w:w="1890" w:type="dxa"/>
            <w:shd w:val="clear" w:color="auto" w:fill="B8CCE4" w:themeFill="accent1" w:themeFillTint="66"/>
          </w:tcPr>
          <w:p w:rsidR="00FF4771" w:rsidRPr="009E2C98" w:rsidRDefault="00FF4771" w:rsidP="00106E54">
            <w:pPr>
              <w:jc w:val="center"/>
              <w:rPr>
                <w:b/>
              </w:rPr>
            </w:pPr>
            <w:r w:rsidRPr="009E2C98">
              <w:rPr>
                <w:b/>
              </w:rPr>
              <w:t>2</w:t>
            </w:r>
          </w:p>
        </w:tc>
        <w:tc>
          <w:tcPr>
            <w:tcW w:w="1980" w:type="dxa"/>
            <w:shd w:val="clear" w:color="auto" w:fill="B8CCE4" w:themeFill="accent1" w:themeFillTint="66"/>
          </w:tcPr>
          <w:p w:rsidR="00FF4771" w:rsidRPr="009E2C98" w:rsidRDefault="00FF4771" w:rsidP="00106E54">
            <w:pPr>
              <w:jc w:val="center"/>
              <w:rPr>
                <w:b/>
              </w:rPr>
            </w:pPr>
            <w:r w:rsidRPr="009E2C98">
              <w:rPr>
                <w:b/>
              </w:rPr>
              <w:t>3</w:t>
            </w:r>
          </w:p>
        </w:tc>
        <w:tc>
          <w:tcPr>
            <w:tcW w:w="2358" w:type="dxa"/>
            <w:shd w:val="clear" w:color="auto" w:fill="B8CCE4" w:themeFill="accent1" w:themeFillTint="66"/>
          </w:tcPr>
          <w:p w:rsidR="00FF4771" w:rsidRPr="009E2C98" w:rsidRDefault="00FF4771" w:rsidP="00106E5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F4771" w:rsidTr="00233EA6">
        <w:tc>
          <w:tcPr>
            <w:tcW w:w="1638" w:type="dxa"/>
          </w:tcPr>
          <w:p w:rsidR="00407F60" w:rsidRDefault="00FF4771" w:rsidP="00163BA1">
            <w:r w:rsidRPr="001E5A3C">
              <w:t xml:space="preserve">Student has </w:t>
            </w:r>
            <w:r w:rsidR="004624B3" w:rsidRPr="001E5A3C">
              <w:t xml:space="preserve">no </w:t>
            </w:r>
            <w:r w:rsidR="00CA6D85">
              <w:t xml:space="preserve">relevant </w:t>
            </w:r>
            <w:r w:rsidR="004624B3" w:rsidRPr="001E5A3C">
              <w:t xml:space="preserve">drawing </w:t>
            </w:r>
          </w:p>
          <w:p w:rsidR="00FF4771" w:rsidRDefault="006F6083" w:rsidP="00163BA1">
            <w:r>
              <w:t>OR</w:t>
            </w:r>
          </w:p>
          <w:p w:rsidR="006F6083" w:rsidRPr="001E5A3C" w:rsidRDefault="006F6083" w:rsidP="006F6083">
            <w:r>
              <w:lastRenderedPageBreak/>
              <w:t>Less than 6 terms written</w:t>
            </w:r>
          </w:p>
        </w:tc>
        <w:tc>
          <w:tcPr>
            <w:tcW w:w="1710" w:type="dxa"/>
          </w:tcPr>
          <w:p w:rsidR="00FF4771" w:rsidRDefault="00737A8B" w:rsidP="00163BA1">
            <w:r>
              <w:lastRenderedPageBreak/>
              <w:t xml:space="preserve">Student uses </w:t>
            </w:r>
            <w:r w:rsidR="006F6083">
              <w:t xml:space="preserve">at least 6 </w:t>
            </w:r>
            <w:r>
              <w:t>correct terms OR</w:t>
            </w:r>
          </w:p>
          <w:p w:rsidR="00737A8B" w:rsidRPr="001E5A3C" w:rsidRDefault="006F6083" w:rsidP="006F6083">
            <w:r>
              <w:lastRenderedPageBreak/>
              <w:t>T</w:t>
            </w:r>
            <w:r w:rsidR="00737A8B">
              <w:t>erms are connected to each other</w:t>
            </w:r>
            <w:r>
              <w:t xml:space="preserve"> but not rewritten in the space (numbers or arrows</w:t>
            </w:r>
            <w:r w:rsidR="00CB4DF5">
              <w:t xml:space="preserve"> or lines</w:t>
            </w:r>
            <w:r>
              <w:t xml:space="preserve"> by the typed words)</w:t>
            </w:r>
          </w:p>
        </w:tc>
        <w:tc>
          <w:tcPr>
            <w:tcW w:w="1890" w:type="dxa"/>
          </w:tcPr>
          <w:p w:rsidR="00737A8B" w:rsidRDefault="00737A8B" w:rsidP="00737A8B">
            <w:r>
              <w:lastRenderedPageBreak/>
              <w:t xml:space="preserve">Student uses </w:t>
            </w:r>
            <w:r w:rsidR="006F6083">
              <w:t xml:space="preserve">at least 6 </w:t>
            </w:r>
            <w:r>
              <w:t>correct terms AND</w:t>
            </w:r>
          </w:p>
          <w:p w:rsidR="00FF4771" w:rsidRPr="001E5A3C" w:rsidRDefault="00737A8B" w:rsidP="00737A8B">
            <w:r>
              <w:lastRenderedPageBreak/>
              <w:t>Terms are connected to each other</w:t>
            </w:r>
            <w:r w:rsidR="00CB4DF5">
              <w:t xml:space="preserve"> either by numbers or arrows or lines</w:t>
            </w:r>
          </w:p>
        </w:tc>
        <w:tc>
          <w:tcPr>
            <w:tcW w:w="1980" w:type="dxa"/>
          </w:tcPr>
          <w:p w:rsidR="00737A8B" w:rsidRDefault="00737A8B" w:rsidP="00737A8B">
            <w:r>
              <w:lastRenderedPageBreak/>
              <w:t xml:space="preserve">Student uses </w:t>
            </w:r>
            <w:r w:rsidR="006F6083">
              <w:t xml:space="preserve">at least 8 </w:t>
            </w:r>
            <w:r>
              <w:t>correct terms AND</w:t>
            </w:r>
          </w:p>
          <w:p w:rsidR="00FF4771" w:rsidRDefault="00737A8B" w:rsidP="00737A8B">
            <w:r>
              <w:lastRenderedPageBreak/>
              <w:t>Terms are connected to each other</w:t>
            </w:r>
          </w:p>
          <w:p w:rsidR="00737A8B" w:rsidRDefault="00737A8B" w:rsidP="00737A8B">
            <w:r>
              <w:t>AND</w:t>
            </w:r>
          </w:p>
          <w:p w:rsidR="00737A8B" w:rsidRDefault="00737A8B" w:rsidP="00737A8B">
            <w:r>
              <w:t>Cyclical with repetition</w:t>
            </w:r>
            <w:r w:rsidR="006F6083">
              <w:t xml:space="preserve"> (actually connected with arrows in circle</w:t>
            </w:r>
            <w:r w:rsidR="00523474">
              <w:t>s; the words “do again” by themselves does not imply cyclical)</w:t>
            </w:r>
          </w:p>
          <w:p w:rsidR="00523474" w:rsidRPr="001E5A3C" w:rsidRDefault="00523474" w:rsidP="00737A8B"/>
        </w:tc>
        <w:tc>
          <w:tcPr>
            <w:tcW w:w="2358" w:type="dxa"/>
          </w:tcPr>
          <w:p w:rsidR="00737A8B" w:rsidRDefault="00737A8B" w:rsidP="00737A8B">
            <w:r>
              <w:lastRenderedPageBreak/>
              <w:t xml:space="preserve">Student uses </w:t>
            </w:r>
            <w:r w:rsidR="00B74CD5">
              <w:t xml:space="preserve">at least 8 correct </w:t>
            </w:r>
            <w:r>
              <w:t>terms AND</w:t>
            </w:r>
          </w:p>
          <w:p w:rsidR="00737A8B" w:rsidRDefault="00737A8B" w:rsidP="00737A8B">
            <w:r>
              <w:lastRenderedPageBreak/>
              <w:t>Terms are connected to each other</w:t>
            </w:r>
          </w:p>
          <w:p w:rsidR="00737A8B" w:rsidRDefault="00737A8B" w:rsidP="00737A8B">
            <w:r>
              <w:t>AND</w:t>
            </w:r>
          </w:p>
          <w:p w:rsidR="00FF4771" w:rsidRDefault="00737A8B" w:rsidP="00737A8B">
            <w:r>
              <w:t>Cyclical with repetition</w:t>
            </w:r>
          </w:p>
          <w:p w:rsidR="00737A8B" w:rsidRDefault="00737A8B" w:rsidP="00737A8B">
            <w:r>
              <w:t xml:space="preserve">AND </w:t>
            </w:r>
          </w:p>
          <w:p w:rsidR="00737A8B" w:rsidRPr="001E5A3C" w:rsidRDefault="006F6083" w:rsidP="00B74CD5">
            <w:r>
              <w:t>Terms are in the correct order</w:t>
            </w:r>
            <w:r w:rsidR="005C402D">
              <w:t xml:space="preserve"> (three acceptable orders are listed </w:t>
            </w:r>
            <w:proofErr w:type="gramStart"/>
            <w:r w:rsidR="005C402D">
              <w:t xml:space="preserve">below </w:t>
            </w:r>
            <w:r w:rsidR="00B74CD5">
              <w:t xml:space="preserve"> and</w:t>
            </w:r>
            <w:proofErr w:type="gramEnd"/>
            <w:r w:rsidR="00B74CD5">
              <w:t xml:space="preserve"> communicate can go in any spot; if other order is identified </w:t>
            </w:r>
            <w:r w:rsidR="005C402D">
              <w:t xml:space="preserve">by a </w:t>
            </w:r>
            <w:proofErr w:type="spellStart"/>
            <w:r w:rsidR="005C402D">
              <w:t>rater</w:t>
            </w:r>
            <w:proofErr w:type="spellEnd"/>
            <w:r w:rsidR="005C402D">
              <w:t>, it will be shared with others for confirmation of correctness.)</w:t>
            </w:r>
          </w:p>
        </w:tc>
      </w:tr>
      <w:tr w:rsidR="001E5A3C" w:rsidTr="00233EA6">
        <w:trPr>
          <w:trHeight w:val="4670"/>
        </w:trPr>
        <w:tc>
          <w:tcPr>
            <w:tcW w:w="1638" w:type="dxa"/>
          </w:tcPr>
          <w:p w:rsidR="001E5A3C" w:rsidRDefault="001E5A3C" w:rsidP="001E5A3C">
            <w:r>
              <w:lastRenderedPageBreak/>
              <w:t>Comments:</w:t>
            </w:r>
          </w:p>
        </w:tc>
        <w:tc>
          <w:tcPr>
            <w:tcW w:w="1710" w:type="dxa"/>
          </w:tcPr>
          <w:p w:rsidR="001E5A3C" w:rsidRDefault="001E5A3C">
            <w:r w:rsidRPr="003F139B">
              <w:t>Comments:</w:t>
            </w:r>
          </w:p>
        </w:tc>
        <w:tc>
          <w:tcPr>
            <w:tcW w:w="1890" w:type="dxa"/>
          </w:tcPr>
          <w:p w:rsidR="001E5A3C" w:rsidRDefault="001E5A3C">
            <w:r w:rsidRPr="003F139B">
              <w:t>Comments:</w:t>
            </w:r>
          </w:p>
        </w:tc>
        <w:tc>
          <w:tcPr>
            <w:tcW w:w="1980" w:type="dxa"/>
          </w:tcPr>
          <w:p w:rsidR="001E5A3C" w:rsidRDefault="001E5A3C">
            <w:r w:rsidRPr="003F139B">
              <w:t>Comments:</w:t>
            </w:r>
          </w:p>
        </w:tc>
        <w:tc>
          <w:tcPr>
            <w:tcW w:w="2358" w:type="dxa"/>
          </w:tcPr>
          <w:p w:rsidR="001E5A3C" w:rsidRDefault="001E5A3C">
            <w:r w:rsidRPr="003F139B">
              <w:t>Comments:</w:t>
            </w:r>
          </w:p>
          <w:p w:rsidR="005C402D" w:rsidRPr="00CB4DF5" w:rsidRDefault="005C402D" w:rsidP="005C40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4DF5">
              <w:rPr>
                <w:rFonts w:ascii="Arial" w:hAnsi="Arial" w:cs="Arial"/>
                <w:b/>
                <w:sz w:val="20"/>
                <w:szCs w:val="20"/>
              </w:rPr>
              <w:t xml:space="preserve">ACCEPTABLE </w:t>
            </w:r>
            <w:r w:rsidRPr="00CB4DF5">
              <w:rPr>
                <w:rFonts w:ascii="Arial" w:hAnsi="Arial" w:cs="Arial"/>
                <w:b/>
                <w:bCs/>
                <w:sz w:val="20"/>
                <w:szCs w:val="20"/>
              </w:rPr>
              <w:t>ORDER(s):</w:t>
            </w:r>
          </w:p>
          <w:p w:rsidR="005C402D" w:rsidRDefault="005C402D" w:rsidP="005C40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C402D" w:rsidRDefault="00CB4DF5" w:rsidP="00CB4DF5">
            <w:pPr>
              <w:pStyle w:val="ListParagraph"/>
              <w:numPr>
                <w:ilvl w:val="0"/>
                <w:numId w:val="14"/>
              </w:numPr>
              <w:ind w:left="144" w:hanging="14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Both “Identify and Define” and “Gather Information” need to be stated as 1 and 2 but the order does not matter.</w:t>
            </w:r>
          </w:p>
          <w:p w:rsidR="00CB4DF5" w:rsidRPr="00CB4DF5" w:rsidRDefault="00CB4DF5" w:rsidP="00CB4DF5">
            <w:pPr>
              <w:pStyle w:val="ListParagraph"/>
              <w:numPr>
                <w:ilvl w:val="0"/>
                <w:numId w:val="14"/>
              </w:numPr>
              <w:ind w:left="144" w:hanging="14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“Communicate” can be any where</w:t>
            </w:r>
          </w:p>
          <w:p w:rsidR="00CB4DF5" w:rsidRDefault="00CB4DF5" w:rsidP="00CB4DF5">
            <w:pPr>
              <w:pStyle w:val="ListParagraph"/>
              <w:numPr>
                <w:ilvl w:val="0"/>
                <w:numId w:val="14"/>
              </w:numPr>
              <w:ind w:left="144" w:hanging="14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Middle items are “Identify Alternatives”, “Select Best Solution” and “Evaluate Solutions”</w:t>
            </w:r>
          </w:p>
          <w:p w:rsidR="00CB4DF5" w:rsidRPr="00CB4DF5" w:rsidRDefault="00CB4DF5" w:rsidP="00CB4DF5">
            <w:pPr>
              <w:pStyle w:val="ListParagraph"/>
              <w:numPr>
                <w:ilvl w:val="0"/>
                <w:numId w:val="14"/>
              </w:numPr>
              <w:ind w:left="144" w:hanging="14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 of the last three items need to include “Refine</w:t>
            </w:r>
            <w:r w:rsidR="001A65FC">
              <w:rPr>
                <w:rFonts w:ascii="Arial" w:hAnsi="Arial" w:cs="Arial"/>
                <w:bCs/>
                <w:sz w:val="20"/>
                <w:szCs w:val="20"/>
              </w:rPr>
              <w:t>/Do Again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”, “Implement Solutions” or “</w:t>
            </w:r>
            <w:r w:rsidR="001A65FC">
              <w:rPr>
                <w:rFonts w:ascii="Arial" w:hAnsi="Arial" w:cs="Arial"/>
                <w:bCs/>
                <w:sz w:val="20"/>
                <w:szCs w:val="20"/>
              </w:rPr>
              <w:t>Evaluate Solution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”</w:t>
            </w:r>
          </w:p>
          <w:p w:rsidR="005C402D" w:rsidRDefault="005C402D"/>
        </w:tc>
      </w:tr>
    </w:tbl>
    <w:p w:rsidR="00106E54" w:rsidRDefault="00106E54" w:rsidP="00106E54"/>
    <w:p w:rsidR="001D1B5E" w:rsidRDefault="001D1B5E" w:rsidP="00106E54"/>
    <w:p w:rsidR="00233EA6" w:rsidRDefault="00233EA6">
      <w:pPr>
        <w:rPr>
          <w:b/>
        </w:rPr>
      </w:pPr>
      <w:r>
        <w:rPr>
          <w:b/>
        </w:rPr>
        <w:br w:type="page"/>
      </w:r>
    </w:p>
    <w:p w:rsidR="001D1B5E" w:rsidRPr="001D1B5E" w:rsidRDefault="001D1B5E" w:rsidP="00106E54">
      <w:pPr>
        <w:rPr>
          <w:b/>
        </w:rPr>
      </w:pPr>
      <w:r w:rsidRPr="001D1B5E">
        <w:rPr>
          <w:b/>
        </w:rPr>
        <w:lastRenderedPageBreak/>
        <w:t>How did you act like an engineer?</w:t>
      </w:r>
    </w:p>
    <w:p w:rsidR="001D1B5E" w:rsidRDefault="001D1B5E" w:rsidP="00106E54"/>
    <w:p w:rsidR="001D1B5E" w:rsidRDefault="001D1B5E" w:rsidP="00106E54">
      <w:r>
        <w:t>Did they answer the question?</w:t>
      </w:r>
    </w:p>
    <w:p w:rsidR="001D1B5E" w:rsidRDefault="001D1B5E" w:rsidP="00106E54">
      <w:r>
        <w:t>Look at WRITTEN comments only and identify the criteria it is related to.</w:t>
      </w:r>
    </w:p>
    <w:p w:rsidR="001D1B5E" w:rsidRDefault="001D1B5E" w:rsidP="00106E54"/>
    <w:p w:rsidR="001D1B5E" w:rsidRDefault="001D1B5E" w:rsidP="00106E54">
      <w:r>
        <w:t>ABET areas of skills</w:t>
      </w:r>
    </w:p>
    <w:p w:rsidR="001D1B5E" w:rsidRPr="001D1B5E" w:rsidRDefault="001D1B5E" w:rsidP="001D1B5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</w:rPr>
      </w:pPr>
      <w:r w:rsidRPr="001D1B5E">
        <w:rPr>
          <w:rFonts w:ascii="Arial" w:eastAsia="Times New Roman" w:hAnsi="Arial" w:cs="Arial"/>
          <w:color w:val="000000"/>
          <w:sz w:val="27"/>
          <w:szCs w:val="27"/>
        </w:rPr>
        <w:t xml:space="preserve">an ability to </w:t>
      </w:r>
      <w:r w:rsidRPr="001D1B5E">
        <w:rPr>
          <w:rFonts w:ascii="Arial" w:eastAsia="Times New Roman" w:hAnsi="Arial" w:cs="Arial"/>
          <w:color w:val="000000"/>
          <w:sz w:val="27"/>
          <w:szCs w:val="27"/>
          <w:u w:val="single"/>
        </w:rPr>
        <w:t>apply knowledge</w:t>
      </w:r>
      <w:r w:rsidRPr="001D1B5E">
        <w:rPr>
          <w:rFonts w:ascii="Arial" w:eastAsia="Times New Roman" w:hAnsi="Arial" w:cs="Arial"/>
          <w:color w:val="000000"/>
          <w:sz w:val="27"/>
          <w:szCs w:val="27"/>
        </w:rPr>
        <w:t xml:space="preserve"> of mathematics, science and engineering</w:t>
      </w:r>
      <w:r w:rsidR="00116CCA">
        <w:rPr>
          <w:rFonts w:ascii="Arial" w:eastAsia="Times New Roman" w:hAnsi="Arial" w:cs="Arial"/>
          <w:color w:val="000000"/>
          <w:sz w:val="27"/>
          <w:szCs w:val="27"/>
        </w:rPr>
        <w:t xml:space="preserve"> , (math, science, researched, measured)</w:t>
      </w:r>
    </w:p>
    <w:p w:rsidR="001D1B5E" w:rsidRPr="001D1B5E" w:rsidRDefault="001D1B5E" w:rsidP="001D1B5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</w:rPr>
      </w:pPr>
      <w:r w:rsidRPr="001D1B5E">
        <w:rPr>
          <w:rFonts w:ascii="Arial" w:eastAsia="Times New Roman" w:hAnsi="Arial" w:cs="Arial"/>
          <w:color w:val="000000"/>
          <w:sz w:val="27"/>
          <w:szCs w:val="27"/>
        </w:rPr>
        <w:t xml:space="preserve">an ability to </w:t>
      </w:r>
      <w:r w:rsidRPr="001D1B5E">
        <w:rPr>
          <w:rFonts w:ascii="Arial" w:eastAsia="Times New Roman" w:hAnsi="Arial" w:cs="Arial"/>
          <w:color w:val="000000"/>
          <w:sz w:val="27"/>
          <w:szCs w:val="27"/>
          <w:u w:val="single"/>
        </w:rPr>
        <w:t>design and conduct</w:t>
      </w:r>
      <w:r w:rsidRPr="001D1B5E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1D1B5E">
        <w:rPr>
          <w:rFonts w:ascii="Arial" w:eastAsia="Times New Roman" w:hAnsi="Arial" w:cs="Arial"/>
          <w:color w:val="000000"/>
          <w:sz w:val="27"/>
          <w:szCs w:val="27"/>
          <w:u w:val="single"/>
        </w:rPr>
        <w:t>experiments</w:t>
      </w:r>
      <w:r w:rsidRPr="001D1B5E">
        <w:rPr>
          <w:rFonts w:ascii="Arial" w:eastAsia="Times New Roman" w:hAnsi="Arial" w:cs="Arial"/>
          <w:color w:val="000000"/>
          <w:sz w:val="27"/>
          <w:szCs w:val="27"/>
        </w:rPr>
        <w:t>, as well as to analyze and interpret data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(testing</w:t>
      </w:r>
      <w:r w:rsidR="00116CCA">
        <w:rPr>
          <w:rFonts w:ascii="Arial" w:eastAsia="Times New Roman" w:hAnsi="Arial" w:cs="Arial"/>
          <w:color w:val="000000"/>
          <w:sz w:val="27"/>
          <w:szCs w:val="27"/>
        </w:rPr>
        <w:t>, measuring, compare</w:t>
      </w:r>
      <w:r>
        <w:rPr>
          <w:rFonts w:ascii="Arial" w:eastAsia="Times New Roman" w:hAnsi="Arial" w:cs="Arial"/>
          <w:color w:val="000000"/>
          <w:sz w:val="27"/>
          <w:szCs w:val="27"/>
        </w:rPr>
        <w:t>)</w:t>
      </w:r>
    </w:p>
    <w:p w:rsidR="001D1B5E" w:rsidRPr="001D1B5E" w:rsidRDefault="001D1B5E" w:rsidP="001D1B5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</w:rPr>
      </w:pPr>
      <w:r w:rsidRPr="001D1B5E">
        <w:rPr>
          <w:rFonts w:ascii="Arial" w:eastAsia="Times New Roman" w:hAnsi="Arial" w:cs="Arial"/>
          <w:color w:val="000000"/>
          <w:sz w:val="27"/>
          <w:szCs w:val="27"/>
        </w:rPr>
        <w:t xml:space="preserve">an ability to </w:t>
      </w:r>
      <w:r w:rsidRPr="001D1B5E">
        <w:rPr>
          <w:rFonts w:ascii="Arial" w:eastAsia="Times New Roman" w:hAnsi="Arial" w:cs="Arial"/>
          <w:color w:val="000000"/>
          <w:sz w:val="27"/>
          <w:szCs w:val="27"/>
          <w:u w:val="single"/>
        </w:rPr>
        <w:t>design a system, component, or process</w:t>
      </w:r>
      <w:r w:rsidRPr="001D1B5E">
        <w:rPr>
          <w:rFonts w:ascii="Arial" w:eastAsia="Times New Roman" w:hAnsi="Arial" w:cs="Arial"/>
          <w:color w:val="000000"/>
          <w:sz w:val="27"/>
          <w:szCs w:val="27"/>
        </w:rPr>
        <w:t xml:space="preserve"> to meet desired needs within realistic constraints such as economic, environmental, social, political, ethical, health and safety, manufacturability, and sustainability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(build or construct)</w:t>
      </w:r>
    </w:p>
    <w:p w:rsidR="001D1B5E" w:rsidRPr="001D1B5E" w:rsidRDefault="001D1B5E" w:rsidP="001D1B5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</w:rPr>
      </w:pPr>
      <w:r w:rsidRPr="001D1B5E">
        <w:rPr>
          <w:rFonts w:ascii="Arial" w:eastAsia="Times New Roman" w:hAnsi="Arial" w:cs="Arial"/>
          <w:color w:val="000000"/>
          <w:sz w:val="27"/>
          <w:szCs w:val="27"/>
        </w:rPr>
        <w:t xml:space="preserve">an ability to function on multidisciplinary </w:t>
      </w:r>
      <w:r w:rsidRPr="001D1B5E">
        <w:rPr>
          <w:rFonts w:ascii="Arial" w:eastAsia="Times New Roman" w:hAnsi="Arial" w:cs="Arial"/>
          <w:color w:val="000000"/>
          <w:sz w:val="27"/>
          <w:szCs w:val="27"/>
          <w:u w:val="single"/>
        </w:rPr>
        <w:t>teams</w:t>
      </w:r>
      <w:r w:rsidRPr="001D1B5E">
        <w:rPr>
          <w:rFonts w:ascii="Arial" w:eastAsia="Times New Roman" w:hAnsi="Arial" w:cs="Arial"/>
          <w:color w:val="000000"/>
          <w:sz w:val="27"/>
          <w:szCs w:val="27"/>
        </w:rPr>
        <w:t xml:space="preserve"> (we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or our</w:t>
      </w:r>
      <w:r w:rsidRPr="001D1B5E">
        <w:rPr>
          <w:rFonts w:ascii="Arial" w:eastAsia="Times New Roman" w:hAnsi="Arial" w:cs="Arial"/>
          <w:color w:val="000000"/>
          <w:sz w:val="27"/>
          <w:szCs w:val="27"/>
        </w:rPr>
        <w:t>)</w:t>
      </w:r>
    </w:p>
    <w:p w:rsidR="001D1B5E" w:rsidRPr="001D1B5E" w:rsidRDefault="001D1B5E" w:rsidP="001D1B5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</w:rPr>
      </w:pPr>
      <w:r w:rsidRPr="001D1B5E">
        <w:rPr>
          <w:rFonts w:ascii="Arial" w:eastAsia="Times New Roman" w:hAnsi="Arial" w:cs="Arial"/>
          <w:color w:val="000000"/>
          <w:sz w:val="27"/>
          <w:szCs w:val="27"/>
        </w:rPr>
        <w:t xml:space="preserve">an ability to identify, formulate, and solve </w:t>
      </w:r>
      <w:r w:rsidRPr="001D1B5E">
        <w:rPr>
          <w:rFonts w:ascii="Arial" w:eastAsia="Times New Roman" w:hAnsi="Arial" w:cs="Arial"/>
          <w:color w:val="000000"/>
          <w:sz w:val="27"/>
          <w:szCs w:val="27"/>
          <w:u w:val="single"/>
        </w:rPr>
        <w:t>engineering problems</w:t>
      </w:r>
    </w:p>
    <w:p w:rsidR="001D1B5E" w:rsidRPr="001D1B5E" w:rsidRDefault="001D1B5E" w:rsidP="001D1B5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</w:rPr>
      </w:pPr>
      <w:r w:rsidRPr="001D1B5E">
        <w:rPr>
          <w:rFonts w:ascii="Arial" w:eastAsia="Times New Roman" w:hAnsi="Arial" w:cs="Arial"/>
          <w:color w:val="000000"/>
          <w:sz w:val="27"/>
          <w:szCs w:val="27"/>
        </w:rPr>
        <w:t xml:space="preserve">an understanding of professional and </w:t>
      </w:r>
      <w:r w:rsidRPr="001D1B5E">
        <w:rPr>
          <w:rFonts w:ascii="Arial" w:eastAsia="Times New Roman" w:hAnsi="Arial" w:cs="Arial"/>
          <w:color w:val="000000"/>
          <w:sz w:val="27"/>
          <w:szCs w:val="27"/>
          <w:u w:val="single"/>
        </w:rPr>
        <w:t>ethical</w:t>
      </w:r>
      <w:r w:rsidRPr="001D1B5E">
        <w:rPr>
          <w:rFonts w:ascii="Arial" w:eastAsia="Times New Roman" w:hAnsi="Arial" w:cs="Arial"/>
          <w:color w:val="000000"/>
          <w:sz w:val="27"/>
          <w:szCs w:val="27"/>
        </w:rPr>
        <w:t xml:space="preserve"> responsibility</w:t>
      </w:r>
    </w:p>
    <w:p w:rsidR="001D1B5E" w:rsidRPr="001D1B5E" w:rsidRDefault="001D1B5E" w:rsidP="001D1B5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</w:rPr>
      </w:pPr>
      <w:r w:rsidRPr="001D1B5E">
        <w:rPr>
          <w:rFonts w:ascii="Arial" w:eastAsia="Times New Roman" w:hAnsi="Arial" w:cs="Arial"/>
          <w:color w:val="000000"/>
          <w:sz w:val="27"/>
          <w:szCs w:val="27"/>
        </w:rPr>
        <w:t xml:space="preserve">an ability to </w:t>
      </w:r>
      <w:r w:rsidRPr="001D1B5E">
        <w:rPr>
          <w:rFonts w:ascii="Arial" w:eastAsia="Times New Roman" w:hAnsi="Arial" w:cs="Arial"/>
          <w:color w:val="000000"/>
          <w:sz w:val="27"/>
          <w:szCs w:val="27"/>
          <w:u w:val="single"/>
        </w:rPr>
        <w:t>communicate</w:t>
      </w:r>
      <w:r w:rsidRPr="001D1B5E">
        <w:rPr>
          <w:rFonts w:ascii="Arial" w:eastAsia="Times New Roman" w:hAnsi="Arial" w:cs="Arial"/>
          <w:color w:val="000000"/>
          <w:sz w:val="27"/>
          <w:szCs w:val="27"/>
        </w:rPr>
        <w:t xml:space="preserve"> effectively (3g1 orally, 3g2 written)</w:t>
      </w:r>
      <w:r w:rsidR="00116CCA">
        <w:rPr>
          <w:rFonts w:ascii="Arial" w:eastAsia="Times New Roman" w:hAnsi="Arial" w:cs="Arial"/>
          <w:color w:val="000000"/>
          <w:sz w:val="27"/>
          <w:szCs w:val="27"/>
        </w:rPr>
        <w:t xml:space="preserve"> (presented, communicated,)</w:t>
      </w:r>
    </w:p>
    <w:p w:rsidR="001D1B5E" w:rsidRPr="001D1B5E" w:rsidRDefault="001D1B5E" w:rsidP="001D1B5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</w:rPr>
      </w:pPr>
      <w:r w:rsidRPr="001D1B5E">
        <w:rPr>
          <w:rFonts w:ascii="Arial" w:eastAsia="Times New Roman" w:hAnsi="Arial" w:cs="Arial"/>
          <w:color w:val="000000"/>
          <w:sz w:val="27"/>
          <w:szCs w:val="27"/>
        </w:rPr>
        <w:t>the broad education necessary to understand the impact of engineering solutions in a global, economic, environmental, and societal context</w:t>
      </w:r>
    </w:p>
    <w:p w:rsidR="001D1B5E" w:rsidRPr="001D1B5E" w:rsidRDefault="001D1B5E" w:rsidP="001D1B5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  <w:u w:val="single"/>
        </w:rPr>
      </w:pPr>
      <w:r w:rsidRPr="001D1B5E">
        <w:rPr>
          <w:rFonts w:ascii="Arial" w:eastAsia="Times New Roman" w:hAnsi="Arial" w:cs="Arial"/>
          <w:color w:val="000000"/>
          <w:sz w:val="27"/>
          <w:szCs w:val="27"/>
        </w:rPr>
        <w:t xml:space="preserve">a recognition of the need for, and an ability to engage in </w:t>
      </w:r>
      <w:r w:rsidRPr="001D1B5E">
        <w:rPr>
          <w:rFonts w:ascii="Arial" w:eastAsia="Times New Roman" w:hAnsi="Arial" w:cs="Arial"/>
          <w:color w:val="000000"/>
          <w:sz w:val="27"/>
          <w:szCs w:val="27"/>
          <w:u w:val="single"/>
        </w:rPr>
        <w:t>life-long learning</w:t>
      </w:r>
      <w:r>
        <w:rPr>
          <w:rFonts w:ascii="Arial" w:eastAsia="Times New Roman" w:hAnsi="Arial" w:cs="Arial"/>
          <w:color w:val="000000"/>
          <w:sz w:val="27"/>
          <w:szCs w:val="27"/>
          <w:u w:val="single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</w:rPr>
        <w:t>(th</w:t>
      </w:r>
      <w:r w:rsidRPr="001D1B5E">
        <w:rPr>
          <w:rFonts w:ascii="Arial" w:eastAsia="Times New Roman" w:hAnsi="Arial" w:cs="Arial"/>
          <w:color w:val="000000"/>
          <w:sz w:val="27"/>
          <w:szCs w:val="27"/>
        </w:rPr>
        <w:t>eir future</w:t>
      </w:r>
      <w:r>
        <w:rPr>
          <w:rFonts w:ascii="Arial" w:eastAsia="Times New Roman" w:hAnsi="Arial" w:cs="Arial"/>
          <w:color w:val="000000"/>
          <w:sz w:val="27"/>
          <w:szCs w:val="27"/>
        </w:rPr>
        <w:t xml:space="preserve"> education, course or career)</w:t>
      </w:r>
    </w:p>
    <w:p w:rsidR="001D1B5E" w:rsidRPr="001D1B5E" w:rsidRDefault="001D1B5E" w:rsidP="001D1B5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</w:rPr>
      </w:pPr>
      <w:r w:rsidRPr="001D1B5E">
        <w:rPr>
          <w:rFonts w:ascii="Arial" w:eastAsia="Times New Roman" w:hAnsi="Arial" w:cs="Arial"/>
          <w:color w:val="000000"/>
          <w:sz w:val="27"/>
          <w:szCs w:val="27"/>
        </w:rPr>
        <w:t xml:space="preserve">a knowledge of </w:t>
      </w:r>
      <w:r w:rsidRPr="001D1B5E">
        <w:rPr>
          <w:rFonts w:ascii="Arial" w:eastAsia="Times New Roman" w:hAnsi="Arial" w:cs="Arial"/>
          <w:color w:val="000000"/>
          <w:sz w:val="27"/>
          <w:szCs w:val="27"/>
          <w:u w:val="single"/>
        </w:rPr>
        <w:t>contemporary issues</w:t>
      </w:r>
      <w:r w:rsidR="00116CCA">
        <w:rPr>
          <w:rFonts w:ascii="Arial" w:eastAsia="Times New Roman" w:hAnsi="Arial" w:cs="Arial"/>
          <w:color w:val="000000"/>
          <w:sz w:val="27"/>
          <w:szCs w:val="27"/>
        </w:rPr>
        <w:t xml:space="preserve"> (heart disease</w:t>
      </w:r>
    </w:p>
    <w:p w:rsidR="001D1B5E" w:rsidRPr="001D1B5E" w:rsidRDefault="001D1B5E" w:rsidP="001D1B5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</w:rPr>
      </w:pPr>
      <w:proofErr w:type="gramStart"/>
      <w:r w:rsidRPr="001D1B5E">
        <w:rPr>
          <w:rFonts w:ascii="Arial" w:eastAsia="Times New Roman" w:hAnsi="Arial" w:cs="Arial"/>
          <w:color w:val="000000"/>
          <w:sz w:val="27"/>
          <w:szCs w:val="27"/>
        </w:rPr>
        <w:t>an</w:t>
      </w:r>
      <w:proofErr w:type="gramEnd"/>
      <w:r w:rsidRPr="001D1B5E">
        <w:rPr>
          <w:rFonts w:ascii="Arial" w:eastAsia="Times New Roman" w:hAnsi="Arial" w:cs="Arial"/>
          <w:color w:val="000000"/>
          <w:sz w:val="27"/>
          <w:szCs w:val="27"/>
        </w:rPr>
        <w:t xml:space="preserve"> ability to use the </w:t>
      </w:r>
      <w:r w:rsidRPr="001D1B5E">
        <w:rPr>
          <w:rFonts w:ascii="Arial" w:eastAsia="Times New Roman" w:hAnsi="Arial" w:cs="Arial"/>
          <w:color w:val="000000"/>
          <w:sz w:val="27"/>
          <w:szCs w:val="27"/>
          <w:u w:val="single"/>
        </w:rPr>
        <w:t>techniques</w:t>
      </w:r>
      <w:r w:rsidRPr="001D1B5E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r w:rsidRPr="001D1B5E">
        <w:rPr>
          <w:rFonts w:ascii="Arial" w:eastAsia="Times New Roman" w:hAnsi="Arial" w:cs="Arial"/>
          <w:color w:val="000000"/>
          <w:sz w:val="27"/>
          <w:szCs w:val="27"/>
          <w:u w:val="single"/>
        </w:rPr>
        <w:t>skills</w:t>
      </w:r>
      <w:r w:rsidRPr="001D1B5E">
        <w:rPr>
          <w:rFonts w:ascii="Arial" w:eastAsia="Times New Roman" w:hAnsi="Arial" w:cs="Arial"/>
          <w:color w:val="000000"/>
          <w:sz w:val="27"/>
          <w:szCs w:val="27"/>
        </w:rPr>
        <w:t xml:space="preserve">, and modern engineering </w:t>
      </w:r>
      <w:r w:rsidRPr="001D1B5E">
        <w:rPr>
          <w:rFonts w:ascii="Arial" w:eastAsia="Times New Roman" w:hAnsi="Arial" w:cs="Arial"/>
          <w:color w:val="000000"/>
          <w:sz w:val="27"/>
          <w:szCs w:val="27"/>
          <w:u w:val="single"/>
        </w:rPr>
        <w:t xml:space="preserve">tools </w:t>
      </w:r>
      <w:r w:rsidRPr="001D1B5E">
        <w:rPr>
          <w:rFonts w:ascii="Arial" w:eastAsia="Times New Roman" w:hAnsi="Arial" w:cs="Arial"/>
          <w:color w:val="000000"/>
          <w:sz w:val="27"/>
          <w:szCs w:val="27"/>
        </w:rPr>
        <w:t>necessary for engineering practice.</w:t>
      </w:r>
      <w:r w:rsidR="00116CCA">
        <w:rPr>
          <w:rFonts w:ascii="Arial" w:eastAsia="Times New Roman" w:hAnsi="Arial" w:cs="Arial"/>
          <w:color w:val="000000"/>
          <w:sz w:val="27"/>
          <w:szCs w:val="27"/>
        </w:rPr>
        <w:t xml:space="preserve"> (blueprint, surveyor)</w:t>
      </w:r>
    </w:p>
    <w:p w:rsidR="001D1B5E" w:rsidRDefault="001D1B5E" w:rsidP="00106E54"/>
    <w:p w:rsidR="001D1B5E" w:rsidRPr="006760AA" w:rsidRDefault="006760AA" w:rsidP="00106E54">
      <w:pPr>
        <w:rPr>
          <w:b/>
        </w:rPr>
      </w:pPr>
      <w:r w:rsidRPr="006760AA">
        <w:rPr>
          <w:b/>
        </w:rPr>
        <w:t>What type of engineer did you act like?</w:t>
      </w:r>
    </w:p>
    <w:p w:rsidR="006760AA" w:rsidRDefault="006760AA" w:rsidP="00106E54"/>
    <w:p w:rsidR="006760AA" w:rsidRDefault="006760AA" w:rsidP="00106E54">
      <w:r>
        <w:t>Checklist Scale:</w:t>
      </w:r>
    </w:p>
    <w:p w:rsidR="006760AA" w:rsidRDefault="006760AA" w:rsidP="00106E54">
      <w:r>
        <w:t>0 == No relevant answer (non-STEM)</w:t>
      </w:r>
    </w:p>
    <w:p w:rsidR="006760AA" w:rsidRDefault="006760AA" w:rsidP="00106E54">
      <w:r>
        <w:t>1 == Specific engineering or STEM career skill or action</w:t>
      </w:r>
    </w:p>
    <w:p w:rsidR="006760AA" w:rsidRDefault="006760AA" w:rsidP="00106E54">
      <w:r>
        <w:t>2 == Engineer or STEM field type identified BUT not an actual traditional engineering or STEM career</w:t>
      </w:r>
    </w:p>
    <w:p w:rsidR="006760AA" w:rsidRDefault="006760AA" w:rsidP="00106E54">
      <w:r>
        <w:t>3 == Traditional engineering or STEM career</w:t>
      </w:r>
    </w:p>
    <w:p w:rsidR="006760AA" w:rsidRDefault="006760AA" w:rsidP="00106E54"/>
    <w:sectPr w:rsidR="006760AA" w:rsidSect="00EE0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C6D3F"/>
    <w:multiLevelType w:val="hybridMultilevel"/>
    <w:tmpl w:val="0E2637AE"/>
    <w:lvl w:ilvl="0" w:tplc="72FA507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 w:val="0"/>
        <w:i w:val="0"/>
        <w:sz w:val="20"/>
      </w:rPr>
    </w:lvl>
    <w:lvl w:ilvl="1" w:tplc="6914A5F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F9701C"/>
    <w:multiLevelType w:val="hybridMultilevel"/>
    <w:tmpl w:val="6F14B2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41412E"/>
    <w:multiLevelType w:val="hybridMultilevel"/>
    <w:tmpl w:val="1B9EF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C084C"/>
    <w:multiLevelType w:val="multilevel"/>
    <w:tmpl w:val="F70640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76518F"/>
    <w:multiLevelType w:val="hybridMultilevel"/>
    <w:tmpl w:val="1F903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52657"/>
    <w:multiLevelType w:val="hybridMultilevel"/>
    <w:tmpl w:val="1B9EF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21D6C"/>
    <w:multiLevelType w:val="hybridMultilevel"/>
    <w:tmpl w:val="F1DC27FC"/>
    <w:lvl w:ilvl="0" w:tplc="72FA507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911CC4"/>
    <w:multiLevelType w:val="hybridMultilevel"/>
    <w:tmpl w:val="8780A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A4DBA"/>
    <w:multiLevelType w:val="hybridMultilevel"/>
    <w:tmpl w:val="8780A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17539"/>
    <w:multiLevelType w:val="hybridMultilevel"/>
    <w:tmpl w:val="97E4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165ED"/>
    <w:multiLevelType w:val="hybridMultilevel"/>
    <w:tmpl w:val="1F903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15F86"/>
    <w:multiLevelType w:val="hybridMultilevel"/>
    <w:tmpl w:val="8780A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240B4"/>
    <w:multiLevelType w:val="hybridMultilevel"/>
    <w:tmpl w:val="8780A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92526"/>
    <w:multiLevelType w:val="hybridMultilevel"/>
    <w:tmpl w:val="1B9EF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6"/>
  </w:num>
  <w:num w:numId="5">
    <w:abstractNumId w:val="12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13"/>
  </w:num>
  <w:num w:numId="12">
    <w:abstractNumId w:val="2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0F"/>
    <w:rsid w:val="00046A9D"/>
    <w:rsid w:val="00106E54"/>
    <w:rsid w:val="00116CCA"/>
    <w:rsid w:val="00163BA1"/>
    <w:rsid w:val="001A65FC"/>
    <w:rsid w:val="001D1B5E"/>
    <w:rsid w:val="001E5A3C"/>
    <w:rsid w:val="00233EA6"/>
    <w:rsid w:val="003561C2"/>
    <w:rsid w:val="00390F0F"/>
    <w:rsid w:val="00407F60"/>
    <w:rsid w:val="004624B3"/>
    <w:rsid w:val="00523474"/>
    <w:rsid w:val="0055049B"/>
    <w:rsid w:val="005C402D"/>
    <w:rsid w:val="005C7A53"/>
    <w:rsid w:val="006760AA"/>
    <w:rsid w:val="006F6083"/>
    <w:rsid w:val="00737A8B"/>
    <w:rsid w:val="00751A53"/>
    <w:rsid w:val="00812DBA"/>
    <w:rsid w:val="00996877"/>
    <w:rsid w:val="009E2C98"/>
    <w:rsid w:val="00B74CD5"/>
    <w:rsid w:val="00C15FFA"/>
    <w:rsid w:val="00C54A76"/>
    <w:rsid w:val="00CA6D85"/>
    <w:rsid w:val="00CB4DF5"/>
    <w:rsid w:val="00CD77E6"/>
    <w:rsid w:val="00D34AEF"/>
    <w:rsid w:val="00EB1C3A"/>
    <w:rsid w:val="00EE00C4"/>
    <w:rsid w:val="00FE692A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257E86D-649C-4E2C-AF70-08183C89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390F0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390F0F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390F0F"/>
    <w:pPr>
      <w:spacing w:after="200"/>
    </w:pPr>
    <w:rPr>
      <w:b/>
      <w:bCs/>
      <w:color w:val="4F81BD" w:themeColor="accent1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E54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E5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9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Reignmakers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Delano White</dc:creator>
  <cp:lastModifiedBy>Maltbie, Catherine (maltbicv)</cp:lastModifiedBy>
  <cp:revision>2</cp:revision>
  <cp:lastPrinted>2014-09-29T20:51:00Z</cp:lastPrinted>
  <dcterms:created xsi:type="dcterms:W3CDTF">2018-05-23T18:55:00Z</dcterms:created>
  <dcterms:modified xsi:type="dcterms:W3CDTF">2018-05-23T18:55:00Z</dcterms:modified>
</cp:coreProperties>
</file>